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b35ae311881477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34188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GRADA BJELOVARA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1.727.031,18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2.164.227,52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1.670.038,63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2.185.704,76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21.477,24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30.955,43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440.487,20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30.259,43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440.487,20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322.989,00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41.137,10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30.843,01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292.145,99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14.403,98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169.818,45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1179,0</w:t>
            </w:r>
          </w:p>
        </w:tc>
      </w:tr>
    </w:tbl>
    <w:p>
      <w:pPr>
        <w:spacing w:before="0" w:after="0"/>
      </w:pPr>
    </w:p>
    <w:p>
      <w:r>
        <w:t xml:space="preserve">Ukupno prihodi poslovanja sadrže prihode od tekućih i kapitalnih pomoći HVZ, prihode od kamata, prihode od prodaje vatrogasnih aparata i opreme i pružanja usluga kao što je servis vatrogasnih aparata, prijevoz pitke vode, vatrogasnog osiguranja i usluga spajanja pravnih osoba na vatrodojavu, te donacije od VZG Bjelovar. U najvećem dijelu su prihodi od proračuna za financiranje redovne dijelatnosti što uključuje i sredstva temeljem Odluke o minimalnim financijskim standardima, kriterijima i mjerilima za financiranje rashoda javnih vatrogasnih postrojbi u 2025. godini koja iznose 814099,00. eura. Navedeni prihodi su za rashode za zaposlene, materijalne i financijske rashode, rashode za nabavu dugotrajne nefinancijske imovine, te prihode za financiranje izdataka za financijski leasing i na kraju uključuju i prihode od dobivenih radnih sporova.</w:t>
      </w:r>
    </w:p>
    <w:p>
      <w:r>
        <w:t xml:space="preserve">Prihodi poslovanja su veći u odnosu na prethodno izvještajno razdoblje u najvećem dijelu od prihoda iz nadležnog proračuna radi povećanja rashoda za zaposlene, te rashoda za nabavu novog vatrogasnog vozila, vatrogasne cisterne. Rashodi poslovanja u izvještajnom razdoblju su veći u odnosu na prethodno u najvećem dijelu iz razloga povećanja rashoda za zaposlene u dijelu povećanja osnovice za plaću, sklopljenog novog Kolektivnog ugovora koji regulira povoljnija prava za radnike, donošenja Pravilnika o uvjetima za stjecanje vatrogasnih zvanja (NN 89/24), te Uredbe o visini dodataka na osnovni koeficijent za radna mjesta profesionalnih vatrogasaca (NN 92/24) te iz razloga što je u ovom izvještajnom razdoblju prikazano 13 rashoda za plaću, naknadu za troškove prehrane te naknade za prijevoz na posao i s posla.</w:t>
      </w:r>
    </w:p>
    <w:p>
      <w:r>
        <w:t xml:space="preserve">Rashodi za nabavu nefinancijske imovine su znatno veći radi nabave novog vatrogasnog vozila, vatrogasne cisterne u visini od 403.736,25 eura.</w:t>
      </w:r>
    </w:p>
    <w:p>
      <w:r>
        <w:t xml:space="preserve">Ukupni primici od financijske imovine i zaduživanja odnose se na sklopljen ugovor o financijskom leasingu za nabavu vatrogasne cisterne u visini od 322.989,00 eura. Izaci za financijsku imovinu odnose se na otplatu glavnice za financijski leasing. </w:t>
      </w:r>
    </w:p>
    <w:p>
      <w:r>
        <w:t xml:space="preserve">U 2025. godini prenesen je višak prihoda u visini od 36.890,84 eura, od čega je višak prihoda od vlastite djelatnosti 10.480,21 eura, donacije VZG 6.410,63, te pomoći od HVZ 20.000,00 eura. Odnosno Odlukom o raspodjeli viška višak prihoda poslovanja iznosi 16890,84, a višak neifinacijske imovine 20.000,00 eura.</w:t>
      </w:r>
    </w:p>
    <w:p>
      <w:r>
        <w:t xml:space="preserve">Ukupni manjak prihoda i primitaka u visini od 169.818,45 eura je metodološki manjak iz razloga što je u ovom izvještajnom razdoblju prikazano 13 rashoda za zaposlene a 12 prihoda za zaposlene.</w:t>
      </w:r>
    </w:p>
    <w:p>
      <w:r>
        <w:t xml:space="preserve">Uzevši u obzir preneseni višak prihoda iz 2024. godine stanje na dan 31.12.2025. godine iznosi manjak od 132.927,61 eura.</w:t>
      </w:r>
    </w:p>
    <w:p>
      <w:r>
        <w:t xml:space="preserve">S 31.12.2025. godine ostvaren je manjak prihoda iz lokalnog proračuna u visini od 148.885,93 eura, dok je iz vlastitih prihoda ostvaren višak u visini od 5070,44 eura, višak prihoda od VZG Bjelovar u visini od 2841,79 eura i višak prihoda od HVZ u visini od 8046,09 eura.</w:t>
      </w:r>
    </w:p>
    <w:p>
      <w:r>
        <w:t xml:space="preserve">Manjak prihoda iz lokalnog proračuna odnosi se na rashode za zaposlene za prosinac 2025. godine što uključuje plaću za zaposlene i naknadu za troškove prehrane.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33.100,41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w:t>
            </w:r>
          </w:p>
        </w:tc>
      </w:tr>
    </w:tbl>
    <w:p>
      <w:pPr>
        <w:spacing w:before="0" w:after="0"/>
      </w:pPr>
    </w:p>
    <w:p>
      <w:r>
        <w:t xml:space="preserve">U ovom izvještajnom razdoblju ostvareno je manje pomoći, a koje se odnose na pomoći od HVZ, i to tekuće pomoći vezane uz dislokacije vatrogasaca na priobalje temeljem zapovijedi glavnog vatrogasnog zapovijednika, te kapitalne pomoći za nabavku vatrogasne opreme.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1.561.666,13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2.004.826,71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128,4</w:t>
            </w:r>
          </w:p>
        </w:tc>
      </w:tr>
    </w:tbl>
    <w:p>
      <w:pPr>
        <w:spacing w:before="0" w:after="0"/>
      </w:pPr>
    </w:p>
    <w:p>
      <w:r>
        <w:t xml:space="preserve">Navedeni prihodi odnose se na prihode iz nadležnog proračuna za rashode poslovanja koji uključuju rashode za zaposlene, materijalne i financijske rashode, rashode za nabavu nefinancijske imovine i to nabavu vatrogasnog vozila, te prihoda za financiranje izdataka za otplatu financijskog leasinga za vatrogasno vozilo. Navedeni prihodi su veći u odnosu naprethodno izvještajno razdoblje radi pokrića rashoda i izdataka za nabavu vatrogasnog vozila, te većih rashoda za zaposlene i rashoda vezanih uz isplatu plaće po sudskim presudama.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Navedeni prihodi se u najvećem dijelu odnose na prihode od dobivenog radnog spora u kojem su tužitelji morali platiti troškove parničnog postupka i to u visini od 5687,50 eura, te prihodi od troškova naplaćenih dugovanja za usluge.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1.459.242,15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1.944.679,80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Rashodi za zaposlene u ovom izvještajnom razdoblju su značajno veće jer je u ovom izvještajnom razdoblju prikazano 13 rashoda za zaposlene.</w:t>
      </w:r>
    </w:p>
    <w:p>
      <w:r>
        <w:t xml:space="preserve">Također u srpnju i kolovozu 2024. godine HVZ je donijela određene Pravilnike i Uredbu o visini dodataka na plaću koji reguliraju koeficijente i dodatke na plaću vatrogasaca te je istima time povećana plaća, te je u veljači 2025. godine povećana osnovica za plaću. Također u 2025. godini isplaćena je jedna otpremnina sukladno Zakonu o vatrogastvu u visini od 24.425,55 eura. Također potpisan je Kolektivni ugovor sa Gradom Bjelovarom s danom 30.04.2025. kojim je reguliran veći dodatak za rad noću u visini od 50%, te povećana je naknada za troškove prehrane koja iznosi 70,00 eura mjesečno. Krajem prosinca 2025. godine isplaćene su plaće po sudskim presudama i to za 6 radnika u visini od 30.018,75 eura ( bruto plaća s doprinosima na plaću). Također u 2025. godini isplaćene su božićnica, regres,  jubilarne nagrade, nagrade za radne rezultate, naknade za bolovanje , troškove prehrane, dar djeci, te dar za rođenje djeteta.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32.485,38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w:t>
            </w:r>
          </w:p>
        </w:tc>
      </w:tr>
    </w:tbl>
    <w:p>
      <w:pPr>
        <w:spacing w:before="0" w:after="0"/>
      </w:pPr>
    </w:p>
    <w:p>
      <w:r>
        <w:t xml:space="preserve">Rashodi za naknadu za prijevoz na posao i s posla su značajno veći u odnosu na prethodno izvještajno razdoblje, jer u ovom izvještajnom razdoblju je prikazano 13 rashoda za naknadu, te je Kolektivnim ugovorom koji je potpisan 30.04.2025. regulirano veće pravo na naknadu za prijevoz.</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w:t>
            </w:r>
          </w:p>
        </w:tc>
      </w:tr>
    </w:tbl>
    <w:p>
      <w:pPr>
        <w:spacing w:before="0" w:after="0"/>
      </w:pPr>
    </w:p>
    <w:p>
      <w:r>
        <w:t xml:space="preserve">U 2025. godini nabavljena je radna odjeća sukladno Pravilniku o jedinstvenom obliku i kroju odore članova vatrogasnih postrojbi te oznakama zvanja i to radne hlače, jakna, majice kratkih rukava, te radna odjeća i obuća za nove radnike.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252,3</w:t>
            </w:r>
          </w:p>
        </w:tc>
      </w:tr>
    </w:tbl>
    <w:p>
      <w:pPr>
        <w:spacing w:before="0" w:after="0"/>
      </w:pPr>
    </w:p>
    <w:p>
      <w:r>
        <w:t xml:space="preserve">Rashodi za računalne usluge su veće u odnosu na prethodno izvještajno razdoblje iz razloga što je u ovom izvještajnom razdoblju dodatni rashod bio popravak kvara na vatrodojavnoj centrali, povećanja mjesečnog održavanja računalnih sustava vezano uz računovodstvo, vođenje raznih evidencija u operativi, vatrodojave radi povećanog broja pravnih osoba spojenih na vatrodojavu. Također u 2025. godini sklopili smo ugovor o održavanju računalne opreme, te dodatni rashod su računalne usluge za obračun sudskih presuda, te e arhive.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w:t>
            </w:r>
          </w:p>
        </w:tc>
      </w:tr>
    </w:tbl>
    <w:p>
      <w:pPr>
        <w:spacing w:before="0" w:after="0"/>
      </w:pPr>
    </w:p>
    <w:p>
      <w:r>
        <w:t xml:space="preserve">U 2025. godini imali smo uslugu čišćenja radnih prostorija radi dugotrajnog bolovanja spremačice.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22.391,23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w:t>
            </w:r>
          </w:p>
        </w:tc>
      </w:tr>
    </w:tbl>
    <w:p>
      <w:pPr>
        <w:spacing w:before="0" w:after="0"/>
      </w:pPr>
    </w:p>
    <w:p>
      <w:r>
        <w:t xml:space="preserve">Premije osiguranja su veće u odnosu na prethodno izvještajno razdoblje radi AO i kasko osiguranja novog vatrogasnog vozila.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286,8</w:t>
            </w:r>
          </w:p>
        </w:tc>
      </w:tr>
    </w:tbl>
    <w:p>
      <w:pPr>
        <w:spacing w:before="0" w:after="0"/>
      </w:pPr>
    </w:p>
    <w:p>
      <w:r>
        <w:t xml:space="preserve">Povećane ovih rashoda su u najvećem dijelu radi sudskih pristojbi vezanih u radne sporove i najvećem dijelu radi podnošenja žalbi.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sudskih postupaka se odnose na troškove radi 6 izgubljenih radnih sporova.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813,9</w:t>
            </w:r>
          </w:p>
        </w:tc>
      </w:tr>
    </w:tbl>
    <w:p>
      <w:pPr>
        <w:spacing w:before="0" w:after="0"/>
      </w:pPr>
    </w:p>
    <w:p>
      <w:r>
        <w:t xml:space="preserve">Ovi financijski rashodi su znatno veći u odnosu naprethodno izvještajno razdoblje i to radi rashoda za plaćanje kamata za financijski leasing za vozilo čija je nabava realizirana u ovoj godini u visini od 9818,55 eura, te plaćanja zateznih kamata za poreze, doprinose i kamate na neto isplatu za izgubljene radne sporove u visini od 6899,69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30.597,32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440.487,20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1439,6</w:t>
            </w:r>
          </w:p>
        </w:tc>
      </w:tr>
    </w:tbl>
    <w:p>
      <w:pPr>
        <w:spacing w:before="0" w:after="0"/>
      </w:pPr>
    </w:p>
    <w:p>
      <w:r>
        <w:t xml:space="preserve">U 2025. godini nabavljeno je novo vatrogasno vozilo, vatrogasna auto cisterna u vrijednosti od 403.736,25 eura nabavljena na financijski leasing. Također u 2025. godini značajnija nabava je komunikacijska oprema za vatrogasno operativno dežurstvo u visini od 19.975,00 eura.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322.989,00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primici se odnose na Ugovor o financijskom leasingu za nabavu novog vatrogasnog vozila, vatrogasne auto cisterne čija je vrijednost 403.736,25 eura, učešće je iznosilo 80.747,25 eura, a ostatak od 322.989,00 eura se otplaćuje na 60 mjeseci.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41.137,10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30.843,01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w:t>
            </w:r>
          </w:p>
        </w:tc>
      </w:tr>
    </w:tbl>
    <w:p>
      <w:pPr>
        <w:spacing w:before="0" w:after="0"/>
      </w:pPr>
    </w:p>
    <w:p>
      <w:r>
        <w:t xml:space="preserve">U 2025. godini otplaćen je financijski leasing za nabavu vatrogasnog vozila u visini od 2.438,78 eura (otkupna vrijednost), te je sklopljen novi Ugovor o financijskom leasingu te je u 2025. godini otplaćeno glavnice u visini od 28.404,23 eura.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43.550,22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30.12.2025. godine Javna vatrogasna postrojba Grada Bjelovara zatvorila je svoj račun radi ulaska u riznicu Grada Bjelovara, te je sva novčana sredstva prebacila na račun grada.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89.649,02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450.684,82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502,7</w:t>
            </w:r>
          </w:p>
        </w:tc>
      </w:tr>
    </w:tbl>
    <w:p>
      <w:pPr>
        <w:spacing w:before="0" w:after="0"/>
      </w:pPr>
    </w:p>
    <w:p>
      <w:r>
        <w:t xml:space="preserve">U 2025. godini nabavljeno je dugotrajne imovine u vrijednosti od 440.487,20 eura od čega je novo vatrogasnog vozilo, vatrogasna auto cisterna u vrijednosti od 403.736,25 eura. Također u 2025. godine rashodovana je imovina radi neispravnosti, isteka vijeka trajanja te nemogućnosti ispitivanja iste u visini nabavne vrijednosti od 18.212,53 eura, ispravka vrijednosti u visini od 17.674,96, ostatak vrijednosti 537,57 eura. Navedena imovina je tijekom 2025. godine zbrinuta na reciklažno dvorište. Napravljen je godišnji ispravak vrijednosti u visini od 78.913,83 eura.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43.550,22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 30.12.2025. godine Javna vatrogasna postrojba zatvorila je račun u banci radi ulaska u riznicu Grada Bjelovara, te je sva svoja novčana sredstva prebacila na račun Grada Bjelovara.</w:t>
      </w:r>
    </w:p>
    <w:p>
      <w:r>
        <w:t xml:space="preserv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364,4</w:t>
            </w:r>
          </w:p>
        </w:tc>
      </w:tr>
    </w:tbl>
    <w:p>
      <w:pPr>
        <w:spacing w:before="0" w:after="0"/>
      </w:pPr>
    </w:p>
    <w:p>
      <w:r>
        <w:t xml:space="preserve">Navedena potraživanja se odnose na potraživanja od HZZO za bolovanje na teret HZZO u visini od 8055,63, te potraživanja za režijske troškove od VZG i VZBBŽ u visini od 44,50 eura.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19.019,25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35.178,37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w:t>
            </w:r>
          </w:p>
        </w:tc>
      </w:tr>
    </w:tbl>
    <w:p>
      <w:pPr>
        <w:spacing w:before="0" w:after="0"/>
      </w:pPr>
    </w:p>
    <w:p>
      <w:r>
        <w:t xml:space="preserve">Navedena potraživanja se odnose na potraživanja za kamate za zakašnjelo plaćanje i kamate za troškove parničnog postupka za dobiveni radni spor, potraživanja za prihode od pruženih usluga prodaje vatrogasnih aparata i opreme, servisa vatrogasnih aparata, pružanja usluga spajanja na vatrodojavu, vožnje vode i osiguranja, te potraživanja za prihode za troškove parničnog postupka za dobiveni radni spor.</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w:t>
            </w:r>
          </w:p>
        </w:tc>
      </w:tr>
    </w:tbl>
    <w:p>
      <w:pPr>
        <w:spacing w:before="0" w:after="0"/>
      </w:pPr>
    </w:p>
    <w:p>
      <w:r>
        <w:t xml:space="preserve">Potraživanja za navedene prihode su znatno manji odnosu na prethodnu godinu iz razloga što su u 2025. godini 5 puta slane opomene za dospjela dugovanja, za određene dužnike pokrenut je postupak prisilne naplate te iz navedenih razloga smanjilo se potraživanje.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159.451,20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168.751,25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bl>
    <w:p>
      <w:pPr>
        <w:spacing w:before="0" w:after="0"/>
      </w:pPr>
    </w:p>
    <w:p>
      <w:r>
        <w:t xml:space="preserve">Obveze za rashode poslovanja odnose se na rashode za zaposlene za prosinac 2025. godine, materijalne rashode i rashode za kamate za financijski leasing.</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294.584,77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Navedene obveze se odnose na obveze otplate glavnice za financijski leasing za nabavu vatrogasnog vozila.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36.890,84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-132.927,61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-360,3</w:t>
            </w:r>
          </w:p>
        </w:tc>
      </w:tr>
    </w:tbl>
    <w:p>
      <w:pPr>
        <w:spacing w:before="0" w:after="0"/>
      </w:pPr>
    </w:p>
    <w:p>
      <w:r>
        <w:t xml:space="preserve">Sukladno članku 215. stavak 2. Pravilnika o proračunskom računovodstvu za iznose koji su bili evidentirani tijekom godine na računima kapitalnih prijenosa sredstava za 6362 kapitalne pomoći proračunskim korisnicima iz proračuna koji im nije nadležan (HVZ 2650,00),  za  6632 kapitalnih donacija (VZG Bjelovar 15147,04) i 67121 prihode iz nadležnog proračuna za financiranje rashoda za nabavu nefinancijske imovine (80.747,25)  ako koji su utrošeni za nabavu dugotrajne nefinancijske imovine napravljena je korekcija rezultata.  </w:t>
      </w:r>
    </w:p>
    <w:p>
      <w:r>
        <w:t xml:space="preserve"> </w:t>
      </w:r>
    </w:p>
    <w:tbl>
      <w:tblPr>
        <w:tblStyle w:val="TableGrid"/>
        <w:tblW w:w="5000" w:type="pct"/>
      </w:tblPr>
      <w:tblGrid>
        <w:gridCol w:w="822"/>
        <w:gridCol w:w="3028"/>
        <w:gridCol w:w="1925"/>
        <w:gridCol w:w="1925"/>
        <w:gridCol w:w="1925"/>
      </w:tblGrid>
      <w:tr>
        <w:trPr>
          <w:trHeight w:val="539" w:hRule="atLeast"/>
        </w:trPr>
        <w:tc>
          <w:tcPr>
            <w:tcW w:w="426" w:type="pct"/>
            <w:vAlign w:val="center"/>
          </w:tcPr>
          <w:p>
            <w:r>
              <w:t xml:space="preserve"> </w:t>
            </w:r>
          </w:p>
        </w:tc>
        <w:tc>
          <w:tcPr>
            <w:tcW w:w="1573" w:type="pct"/>
            <w:vAlign w:val="center"/>
          </w:tcPr>
          <w:p>
            <w:r>
              <w:t xml:space="preserve">pozicije na 31.12.2025. </w:t>
            </w:r>
          </w:p>
        </w:tc>
        <w:tc>
          <w:tcPr>
            <w:tcW w:w="999" w:type="pct"/>
            <w:vAlign w:val="center"/>
          </w:tcPr>
          <w:p>
            <w:r>
              <w:t xml:space="preserve">PR-RAS</w:t>
            </w:r>
          </w:p>
        </w:tc>
        <w:tc>
          <w:tcPr>
            <w:tcW w:w="999" w:type="pct"/>
            <w:vAlign w:val="center"/>
          </w:tcPr>
          <w:p>
            <w:r>
              <w:t xml:space="preserve">korekcija kapitalni prijenosi</w:t>
            </w:r>
          </w:p>
        </w:tc>
        <w:tc>
          <w:tcPr>
            <w:tcW w:w="1000" w:type="pct"/>
            <w:vAlign w:val="center"/>
          </w:tcPr>
          <w:p>
            <w:r>
              <w:t xml:space="preserve">bilanca</w:t>
            </w:r>
          </w:p>
        </w:tc>
      </w:tr>
      <w:tr>
        <w:trPr>
          <w:trHeight w:val="539" w:hRule="atLeast"/>
        </w:trPr>
        <w:tc>
          <w:tcPr>
            <w:tcW w:w="426" w:type="pct"/>
            <w:vAlign w:val="center"/>
          </w:tcPr>
          <w:p>
            <w:r>
              <w:t xml:space="preserve">92211</w:t>
            </w:r>
          </w:p>
        </w:tc>
        <w:tc>
          <w:tcPr>
            <w:tcW w:w="1573" w:type="pct"/>
            <w:vAlign w:val="center"/>
          </w:tcPr>
          <w:p>
            <w:r>
              <w:t xml:space="preserve">višak prihoda poslovanja</w:t>
            </w:r>
          </w:p>
        </w:tc>
        <w:tc>
          <w:tcPr>
            <w:tcW w:w="999" w:type="pct"/>
            <w:vAlign w:val="center"/>
          </w:tcPr>
          <w:p>
            <w:pPr>
              <w:keepNext/>
              <w:jc w:val="right"/>
            </w:pPr>
            <w:r>
              <w:t xml:space="preserve">0,00</w:t>
            </w:r>
          </w:p>
        </w:tc>
        <w:tc>
          <w:tcPr>
            <w:tcW w:w="999" w:type="pct"/>
            <w:vAlign w:val="center"/>
          </w:tcPr>
          <w:p>
            <w:pPr>
              <w:keepNext/>
              <w:jc w:val="right"/>
            </w:pPr>
            <w:r>
              <w:t xml:space="preserve"> </w:t>
            </w:r>
          </w:p>
        </w:tc>
        <w:tc>
          <w:tcPr>
            <w:tcW w:w="1000" w:type="pct"/>
            <w:vAlign w:val="center"/>
          </w:tcPr>
          <w:p>
            <w:pPr>
              <w:keepNext/>
              <w:jc w:val="right"/>
            </w:pPr>
            <w:r>
              <w:t xml:space="preserve">0,00</w:t>
            </w:r>
          </w:p>
        </w:tc>
      </w:tr>
      <w:tr>
        <w:trPr>
          <w:trHeight w:val="539" w:hRule="atLeast"/>
        </w:trPr>
        <w:tc>
          <w:tcPr>
            <w:tcW w:w="426" w:type="pct"/>
            <w:vAlign w:val="center"/>
          </w:tcPr>
          <w:p>
            <w:r>
              <w:t xml:space="preserve">92212</w:t>
            </w:r>
          </w:p>
        </w:tc>
        <w:tc>
          <w:tcPr>
            <w:tcW w:w="1573" w:type="pct"/>
            <w:vAlign w:val="center"/>
          </w:tcPr>
          <w:p>
            <w:r>
              <w:t xml:space="preserve">višak prihoda od nefinancijske imovine</w:t>
            </w:r>
          </w:p>
        </w:tc>
        <w:tc>
          <w:tcPr>
            <w:tcW w:w="999" w:type="pct"/>
            <w:vAlign w:val="center"/>
          </w:tcPr>
          <w:p>
            <w:pPr>
              <w:keepNext/>
              <w:jc w:val="right"/>
            </w:pPr>
            <w:r>
              <w:t xml:space="preserve">0,00</w:t>
            </w:r>
          </w:p>
        </w:tc>
        <w:tc>
          <w:tcPr>
            <w:tcW w:w="999" w:type="pct"/>
            <w:vAlign w:val="center"/>
          </w:tcPr>
          <w:p>
            <w:pPr>
              <w:keepNext/>
              <w:jc w:val="right"/>
            </w:pPr>
            <w:r>
              <w:t xml:space="preserve"> </w:t>
            </w:r>
          </w:p>
        </w:tc>
        <w:tc>
          <w:tcPr>
            <w:tcW w:w="1000" w:type="pct"/>
            <w:vAlign w:val="center"/>
          </w:tcPr>
          <w:p>
            <w:pPr>
              <w:keepNext/>
              <w:jc w:val="right"/>
            </w:pPr>
            <w:r>
              <w:t xml:space="preserve">0,00</w:t>
            </w:r>
          </w:p>
        </w:tc>
      </w:tr>
      <w:tr>
        <w:trPr>
          <w:trHeight w:val="539" w:hRule="atLeast"/>
        </w:trPr>
        <w:tc>
          <w:tcPr>
            <w:tcW w:w="426" w:type="pct"/>
            <w:vAlign w:val="center"/>
          </w:tcPr>
          <w:p>
            <w:r>
              <w:t xml:space="preserve">92213</w:t>
            </w:r>
          </w:p>
        </w:tc>
        <w:tc>
          <w:tcPr>
            <w:tcW w:w="1573" w:type="pct"/>
            <w:vAlign w:val="center"/>
          </w:tcPr>
          <w:p>
            <w:r>
              <w:t xml:space="preserve">višak primitaka od financijske imovine</w:t>
            </w:r>
          </w:p>
        </w:tc>
        <w:tc>
          <w:tcPr>
            <w:tcW w:w="999" w:type="pct"/>
            <w:vAlign w:val="center"/>
          </w:tcPr>
          <w:p>
            <w:pPr>
              <w:keepNext/>
              <w:jc w:val="right"/>
            </w:pPr>
            <w:r>
              <w:t xml:space="preserve">292145,99</w:t>
            </w:r>
          </w:p>
        </w:tc>
        <w:tc>
          <w:tcPr>
            <w:tcW w:w="999" w:type="pct"/>
            <w:vAlign w:val="center"/>
          </w:tcPr>
          <w:p>
            <w:pPr>
              <w:keepNext/>
              <w:jc w:val="right"/>
            </w:pPr>
            <w:r>
              <w:t xml:space="preserve"> </w:t>
            </w:r>
          </w:p>
        </w:tc>
        <w:tc>
          <w:tcPr>
            <w:tcW w:w="1000" w:type="pct"/>
            <w:vAlign w:val="center"/>
          </w:tcPr>
          <w:p>
            <w:pPr>
              <w:keepNext/>
              <w:jc w:val="right"/>
            </w:pPr>
            <w:r>
              <w:t xml:space="preserve">292145,99</w:t>
            </w:r>
          </w:p>
        </w:tc>
      </w:tr>
      <w:tr>
        <w:trPr>
          <w:trHeight w:val="539" w:hRule="atLeast"/>
        </w:trPr>
        <w:tc>
          <w:tcPr>
            <w:tcW w:w="426" w:type="pct"/>
            <w:vAlign w:val="center"/>
          </w:tcPr>
          <w:p>
            <w:r>
              <w:t xml:space="preserve">92221</w:t>
            </w:r>
          </w:p>
        </w:tc>
        <w:tc>
          <w:tcPr>
            <w:tcW w:w="1573" w:type="pct"/>
            <w:vAlign w:val="center"/>
          </w:tcPr>
          <w:p>
            <w:r>
              <w:t xml:space="preserve">manjak prihoda poslovanja (21477,24-preneseni višak 16890,84)</w:t>
            </w:r>
          </w:p>
        </w:tc>
        <w:tc>
          <w:tcPr>
            <w:tcW w:w="999" w:type="pct"/>
            <w:vAlign w:val="center"/>
          </w:tcPr>
          <w:p>
            <w:pPr>
              <w:keepNext/>
              <w:jc w:val="right"/>
            </w:pPr>
            <w:r>
              <w:t xml:space="preserve">-4586,40</w:t>
            </w:r>
          </w:p>
        </w:tc>
        <w:tc>
          <w:tcPr>
            <w:tcW w:w="999" w:type="pct"/>
            <w:vAlign w:val="center"/>
          </w:tcPr>
          <w:p>
            <w:pPr>
              <w:keepNext/>
              <w:jc w:val="right"/>
            </w:pPr>
            <w:r>
              <w:t xml:space="preserve">-98544,29</w:t>
            </w:r>
          </w:p>
        </w:tc>
        <w:tc>
          <w:tcPr>
            <w:tcW w:w="1000" w:type="pct"/>
            <w:vAlign w:val="center"/>
          </w:tcPr>
          <w:p>
            <w:pPr>
              <w:keepNext/>
              <w:jc w:val="right"/>
            </w:pPr>
            <w:r>
              <w:t xml:space="preserve">-103130,69</w:t>
            </w:r>
          </w:p>
        </w:tc>
      </w:tr>
      <w:tr>
        <w:trPr/>
        <w:tc>
          <w:tcPr>
            <w:tcW w:w="426" w:type="pct"/>
            <w:vAlign w:val="center"/>
          </w:tcPr>
          <w:p>
            <w:r>
              <w:t xml:space="preserve">92222</w:t>
            </w:r>
          </w:p>
        </w:tc>
        <w:tc>
          <w:tcPr>
            <w:tcW w:w="1573" w:type="pct"/>
            <w:vAlign w:val="center"/>
          </w:tcPr>
          <w:p>
            <w:r>
              <w:t xml:space="preserve">manjak prihoda od nefinancijske imovine (440487,20- preneseni višak 20.000,00)</w:t>
            </w:r>
          </w:p>
        </w:tc>
        <w:tc>
          <w:tcPr>
            <w:tcW w:w="999" w:type="pct"/>
            <w:vAlign w:val="center"/>
          </w:tcPr>
          <w:p>
            <w:pPr>
              <w:keepNext/>
              <w:jc w:val="right"/>
            </w:pPr>
            <w:r>
              <w:t xml:space="preserve">-420487,20</w:t>
            </w:r>
          </w:p>
        </w:tc>
        <w:tc>
          <w:tcPr>
            <w:tcW w:w="999" w:type="pct"/>
            <w:vAlign w:val="center"/>
          </w:tcPr>
          <w:p>
            <w:pPr>
              <w:keepNext/>
              <w:jc w:val="right"/>
            </w:pPr>
            <w:r>
              <w:t xml:space="preserve">98544,29</w:t>
            </w:r>
          </w:p>
        </w:tc>
        <w:tc>
          <w:tcPr>
            <w:tcW w:w="1000" w:type="pct"/>
            <w:vAlign w:val="center"/>
          </w:tcPr>
          <w:p>
            <w:pPr>
              <w:keepNext/>
              <w:jc w:val="right"/>
            </w:pPr>
            <w:r>
              <w:t xml:space="preserve">-321942,91</w:t>
            </w:r>
          </w:p>
        </w:tc>
      </w:tr>
      <w:tr>
        <w:trPr/>
        <w:tc>
          <w:tcPr>
            <w:tcW w:w="426" w:type="pct"/>
            <w:vAlign w:val="center"/>
          </w:tcPr>
          <w:p>
            <w:r>
              <w:t xml:space="preserve">92223</w:t>
            </w:r>
          </w:p>
        </w:tc>
        <w:tc>
          <w:tcPr>
            <w:tcW w:w="1573" w:type="pct"/>
            <w:vAlign w:val="center"/>
          </w:tcPr>
          <w:p>
            <w:r>
              <w:t xml:space="preserve">manjak primitaka od financijske imovine</w:t>
            </w:r>
          </w:p>
        </w:tc>
        <w:tc>
          <w:tcPr>
            <w:tcW w:w="999" w:type="pct"/>
            <w:vAlign w:val="center"/>
          </w:tcPr>
          <w:p>
            <w:pPr>
              <w:keepNext/>
              <w:jc w:val="right"/>
            </w:pPr>
            <w:r>
              <w:t xml:space="preserve">0,00</w:t>
            </w:r>
          </w:p>
        </w:tc>
        <w:tc>
          <w:tcPr>
            <w:tcW w:w="999" w:type="pct"/>
            <w:vAlign w:val="center"/>
          </w:tcPr>
          <w:p>
            <w:pPr>
              <w:keepNext/>
              <w:jc w:val="right"/>
            </w:pPr>
            <w:r>
              <w:t xml:space="preserve"> </w:t>
            </w:r>
          </w:p>
        </w:tc>
        <w:tc>
          <w:tcPr>
            <w:tcW w:w="1000" w:type="pct"/>
            <w:vAlign w:val="center"/>
          </w:tcPr>
          <w:p>
            <w:pPr>
              <w:keepNext/>
              <w:jc w:val="right"/>
            </w:pPr>
            <w:r>
              <w:t xml:space="preserve">0,00</w:t>
            </w:r>
          </w:p>
        </w:tc>
      </w:tr>
      <w:tr>
        <w:trPr/>
        <w:tc>
          <w:tcPr>
            <w:tcW w:w="426" w:type="pct"/>
            <w:vAlign w:val="center"/>
          </w:tcPr>
          <w:p>
            <w:r>
              <w:t xml:space="preserve">922</w:t>
            </w:r>
          </w:p>
        </w:tc>
        <w:tc>
          <w:tcPr>
            <w:tcW w:w="1573" w:type="pct"/>
            <w:vAlign w:val="center"/>
          </w:tcPr>
          <w:p>
            <w:r>
              <w:t xml:space="preserve">višak/manjak prihoda</w:t>
            </w:r>
          </w:p>
        </w:tc>
        <w:tc>
          <w:tcPr>
            <w:tcW w:w="999" w:type="pct"/>
            <w:vAlign w:val="center"/>
          </w:tcPr>
          <w:p>
            <w:pPr>
              <w:keepNext/>
              <w:jc w:val="right"/>
            </w:pPr>
            <w:r>
              <w:t xml:space="preserve">-132927,61</w:t>
            </w:r>
          </w:p>
        </w:tc>
        <w:tc>
          <w:tcPr>
            <w:tcW w:w="999" w:type="pct"/>
            <w:vAlign w:val="center"/>
          </w:tcPr>
          <w:p>
            <w:pPr>
              <w:keepNext/>
              <w:jc w:val="right"/>
            </w:pPr>
            <w:r>
              <w:t xml:space="preserve">0,00</w:t>
            </w:r>
          </w:p>
        </w:tc>
        <w:tc>
          <w:tcPr>
            <w:tcW w:w="1000" w:type="pct"/>
            <w:vAlign w:val="center"/>
          </w:tcPr>
          <w:p>
            <w:pPr>
              <w:keepNext/>
              <w:jc w:val="right"/>
            </w:pPr>
            <w:r>
              <w:t xml:space="preserve">-132927,61</w:t>
            </w:r>
          </w:p>
        </w:tc>
      </w:tr>
    </w:tbl>
    <w:p>
      <w:r>
        <w:t xml:space="preserve"> </w:t>
      </w:r>
    </w:p>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712.703,88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580.210,24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bl>
    <w:p>
      <w:pPr>
        <w:spacing w:before="0" w:after="0"/>
      </w:pPr>
    </w:p>
    <w:p>
      <w:r>
        <w:t xml:space="preserve">Javna vatrogasna postrojba Grada Bjelovara ima tuđu imovinu na korištenju kako slijedi:</w:t>
      </w:r>
    </w:p>
    <w:tbl>
      <w:tblPr>
        <w:tblStyle w:val="TableGrid"/>
        <w:tblW w:w="5000" w:type="pct"/>
      </w:tblPr>
      <w:tblGrid>
        <w:gridCol w:w="3209"/>
        <w:gridCol w:w="1605"/>
        <w:gridCol w:w="1605"/>
        <w:gridCol w:w="3206"/>
      </w:tblGrid>
      <w:tr>
        <w:trPr/>
        <w:tc>
          <w:tcPr>
            <w:tcW w:w="1667" w:type="pct"/>
            <w:vAlign w:val="center"/>
          </w:tcPr>
          <w:p>
            <w:r>
              <w:t xml:space="preserve">imovina /vlasnik</w:t>
            </w:r>
          </w:p>
        </w:tc>
        <w:tc>
          <w:tcPr>
            <w:tcW w:w="833" w:type="pct"/>
            <w:vAlign w:val="center"/>
          </w:tcPr>
          <w:p>
            <w:r>
              <w:t xml:space="preserve">nabavna vrijednost</w:t>
            </w:r>
          </w:p>
        </w:tc>
        <w:tc>
          <w:tcPr>
            <w:tcW w:w="833" w:type="pct"/>
            <w:vAlign w:val="center"/>
          </w:tcPr>
          <w:p>
            <w:r>
              <w:t xml:space="preserve">ispravak vrijednosti</w:t>
            </w:r>
          </w:p>
        </w:tc>
        <w:tc>
          <w:tcPr>
            <w:tcW w:w="1665" w:type="pct"/>
            <w:vAlign w:val="center"/>
          </w:tcPr>
          <w:p>
            <w:r>
              <w:t xml:space="preserve">sadašnja vrijednost</w:t>
            </w:r>
          </w:p>
        </w:tc>
      </w:tr>
      <w:tr>
        <w:trPr/>
        <w:tc>
          <w:tcPr>
            <w:tcW w:w="1667" w:type="pct"/>
            <w:vAlign w:val="center"/>
          </w:tcPr>
          <w:p>
            <w:r>
              <w:t xml:space="preserve">zgrada VZG Bjelovara</w:t>
            </w:r>
          </w:p>
        </w:tc>
        <w:tc>
          <w:tcPr>
            <w:tcW w:w="833" w:type="pct"/>
            <w:vAlign w:val="center"/>
          </w:tcPr>
          <w:p>
            <w:r>
              <w:t xml:space="preserve">637978,45</w:t>
            </w:r>
          </w:p>
        </w:tc>
        <w:tc>
          <w:tcPr>
            <w:tcW w:w="833" w:type="pct"/>
            <w:vAlign w:val="center"/>
          </w:tcPr>
          <w:p>
            <w:r>
              <w:t xml:space="preserve">58996,62</w:t>
            </w:r>
          </w:p>
        </w:tc>
        <w:tc>
          <w:tcPr>
            <w:tcW w:w="1665" w:type="pct"/>
            <w:vAlign w:val="center"/>
          </w:tcPr>
          <w:p>
            <w:r>
              <w:t xml:space="preserve">578981,83</w:t>
            </w:r>
          </w:p>
        </w:tc>
      </w:tr>
      <w:tr>
        <w:trPr/>
        <w:tc>
          <w:tcPr>
            <w:tcW w:w="1667" w:type="pct"/>
            <w:vAlign w:val="center"/>
          </w:tcPr>
          <w:p>
            <w:r>
              <w:t xml:space="preserve">Vatrogasno vozilo auto platforma (VZG Bjelovar)</w:t>
            </w:r>
          </w:p>
        </w:tc>
        <w:tc>
          <w:tcPr>
            <w:tcW w:w="833" w:type="pct"/>
            <w:vAlign w:val="center"/>
          </w:tcPr>
          <w:p>
            <w:r>
              <w:t xml:space="preserve">9863,10</w:t>
            </w:r>
          </w:p>
        </w:tc>
        <w:tc>
          <w:tcPr>
            <w:tcW w:w="833" w:type="pct"/>
            <w:vAlign w:val="center"/>
          </w:tcPr>
          <w:p>
            <w:r>
              <w:t xml:space="preserve">9863,10</w:t>
            </w:r>
          </w:p>
        </w:tc>
        <w:tc>
          <w:tcPr>
            <w:tcW w:w="1665" w:type="pct"/>
            <w:vAlign w:val="center"/>
          </w:tcPr>
          <w:p>
            <w:r>
              <w:t xml:space="preserve">0,00</w:t>
            </w:r>
          </w:p>
        </w:tc>
      </w:tr>
      <w:tr>
        <w:trPr/>
        <w:tc>
          <w:tcPr>
            <w:tcW w:w="1667" w:type="pct"/>
            <w:vAlign w:val="center"/>
          </w:tcPr>
          <w:p>
            <w:r>
              <w:t xml:space="preserve">Zapovjedno vozilo Dacia Logan (DVD Bjelovar)</w:t>
            </w:r>
          </w:p>
        </w:tc>
        <w:tc>
          <w:tcPr>
            <w:tcW w:w="833" w:type="pct"/>
            <w:vAlign w:val="center"/>
          </w:tcPr>
          <w:p>
            <w:r>
              <w:t xml:space="preserve">11635,22</w:t>
            </w:r>
          </w:p>
        </w:tc>
        <w:tc>
          <w:tcPr>
            <w:tcW w:w="833" w:type="pct"/>
            <w:vAlign w:val="center"/>
          </w:tcPr>
          <w:p>
            <w:r>
              <w:t xml:space="preserve">11635,22</w:t>
            </w:r>
          </w:p>
        </w:tc>
        <w:tc>
          <w:tcPr>
            <w:tcW w:w="1665" w:type="pct"/>
            <w:vAlign w:val="center"/>
          </w:tcPr>
          <w:p>
            <w:r>
              <w:t xml:space="preserve">0,00</w:t>
            </w:r>
          </w:p>
        </w:tc>
      </w:tr>
      <w:tr>
        <w:trPr/>
        <w:tc>
          <w:tcPr>
            <w:tcW w:w="1667" w:type="pct"/>
            <w:vAlign w:val="center"/>
          </w:tcPr>
          <w:p>
            <w:r>
              <w:t xml:space="preserve">Kombi vozilo Volkswagen Transporter (HVZ)</w:t>
            </w:r>
          </w:p>
        </w:tc>
        <w:tc>
          <w:tcPr>
            <w:tcW w:w="833" w:type="pct"/>
            <w:vAlign w:val="center"/>
          </w:tcPr>
          <w:p>
            <w:r>
              <w:t xml:space="preserve">32375,97</w:t>
            </w:r>
          </w:p>
        </w:tc>
        <w:tc>
          <w:tcPr>
            <w:tcW w:w="833" w:type="pct"/>
            <w:vAlign w:val="center"/>
          </w:tcPr>
          <w:p>
            <w:r>
              <w:t xml:space="preserve">32375,97</w:t>
            </w:r>
          </w:p>
        </w:tc>
        <w:tc>
          <w:tcPr>
            <w:tcW w:w="1665" w:type="pct"/>
            <w:vAlign w:val="center"/>
          </w:tcPr>
          <w:p>
            <w:r>
              <w:t xml:space="preserve">0,00</w:t>
            </w:r>
          </w:p>
        </w:tc>
      </w:tr>
      <w:tr>
        <w:trPr/>
        <w:tc>
          <w:tcPr>
            <w:tcW w:w="1667" w:type="pct"/>
            <w:vAlign w:val="center"/>
          </w:tcPr>
          <w:p>
            <w:r>
              <w:t xml:space="preserve">Telefoni 8 kom (HT)</w:t>
            </w:r>
          </w:p>
        </w:tc>
        <w:tc>
          <w:tcPr>
            <w:tcW w:w="833" w:type="pct"/>
            <w:vAlign w:val="center"/>
          </w:tcPr>
          <w:p>
            <w:r>
              <w:t xml:space="preserve">1228,41</w:t>
            </w:r>
          </w:p>
        </w:tc>
        <w:tc>
          <w:tcPr>
            <w:tcW w:w="833" w:type="pct"/>
            <w:vAlign w:val="center"/>
          </w:tcPr>
          <w:p>
            <w:r>
              <w:t xml:space="preserve">0,00</w:t>
            </w:r>
          </w:p>
        </w:tc>
        <w:tc>
          <w:tcPr>
            <w:tcW w:w="1665" w:type="pct"/>
            <w:vAlign w:val="center"/>
          </w:tcPr>
          <w:p>
            <w:r>
              <w:t xml:space="preserve">1228,41</w:t>
            </w:r>
          </w:p>
        </w:tc>
      </w:tr>
      <w:tr>
        <w:trPr/>
        <w:tc>
          <w:tcPr>
            <w:tcW w:w="1667" w:type="pct"/>
            <w:vAlign w:val="center"/>
          </w:tcPr>
          <w:p>
            <w:r>
              <w:t xml:space="preserve">ukupno:</w:t>
            </w:r>
          </w:p>
        </w:tc>
        <w:tc>
          <w:tcPr>
            <w:tcW w:w="833" w:type="pct"/>
            <w:vAlign w:val="center"/>
          </w:tcPr>
          <w:p>
            <w:r>
              <w:t xml:space="preserve">693081,15</w:t>
            </w:r>
          </w:p>
        </w:tc>
        <w:tc>
          <w:tcPr>
            <w:tcW w:w="833" w:type="pct"/>
            <w:vAlign w:val="center"/>
          </w:tcPr>
          <w:p>
            <w:r>
              <w:t xml:space="preserve">112870,91</w:t>
            </w:r>
          </w:p>
        </w:tc>
        <w:tc>
          <w:tcPr>
            <w:tcW w:w="1665" w:type="pct"/>
            <w:vAlign w:val="center"/>
          </w:tcPr>
          <w:p>
            <w:r>
              <w:t xml:space="preserve">580210,24</w:t>
            </w:r>
          </w:p>
        </w:tc>
      </w:tr>
    </w:tbl>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508.740,00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182.982,47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w:t>
            </w:r>
          </w:p>
        </w:tc>
      </w:tr>
    </w:tbl>
    <w:p>
      <w:pPr>
        <w:spacing w:before="0" w:after="0"/>
      </w:pPr>
    </w:p>
    <w:p>
      <w:r>
        <w:t xml:space="preserve">Javna vatrogasna postrojba Grada Bjelovara na dan 31.12.2025. godine ima sudskih sporova u tijeku kako slijedi:</w:t>
      </w:r>
    </w:p>
    <w:tbl>
      <w:tblPr>
        <w:tblStyle w:val="TableGrid"/>
        <w:tblW w:w="5000" w:type="pct"/>
      </w:tblPr>
      <w:tblGrid>
        <w:gridCol w:w="2400"/>
        <w:gridCol w:w="2400"/>
        <w:gridCol w:w="2400"/>
        <w:gridCol w:w="2400"/>
      </w:tblGrid>
      <w:tr>
        <w:trPr/>
        <w:tc>
          <w:tcPr>
            <w:tcW w:w="1246" w:type="pct"/>
            <w:vAlign w:val="center"/>
          </w:tcPr>
          <w:p>
            <w:r>
              <w:t xml:space="preserve">tužitelj</w:t>
            </w:r>
          </w:p>
        </w:tc>
        <w:tc>
          <w:tcPr>
            <w:tcW w:w="1246" w:type="pct"/>
            <w:vAlign w:val="center"/>
          </w:tcPr>
          <w:p>
            <w:r>
              <w:t xml:space="preserve">predmet spora</w:t>
            </w:r>
          </w:p>
        </w:tc>
        <w:tc>
          <w:tcPr>
            <w:tcW w:w="1246" w:type="pct"/>
            <w:vAlign w:val="center"/>
          </w:tcPr>
          <w:p>
            <w:r>
              <w:t xml:space="preserve">procjena financijskog učinka</w:t>
            </w:r>
          </w:p>
        </w:tc>
        <w:tc>
          <w:tcPr>
            <w:tcW w:w="1246" w:type="pct"/>
            <w:vAlign w:val="center"/>
          </w:tcPr>
          <w:p>
            <w:r>
              <w:t xml:space="preserve">procijenjeno vrijeme odljeva sredstava</w:t>
            </w:r>
          </w:p>
        </w:tc>
      </w:tr>
      <w:tr>
        <w:trPr/>
        <w:tc>
          <w:tcPr>
            <w:tcW w:w="1246" w:type="pct"/>
            <w:vAlign w:val="center"/>
          </w:tcPr>
          <w:p>
            <w:r>
              <w:t xml:space="preserve">22 radnika</w:t>
            </w:r>
          </w:p>
        </w:tc>
        <w:tc>
          <w:tcPr>
            <w:tcW w:w="1246" w:type="pct"/>
            <w:vAlign w:val="center"/>
          </w:tcPr>
          <w:p>
            <w:r>
              <w:t xml:space="preserve">dodatak na plaću za uvjete rada</w:t>
            </w:r>
          </w:p>
        </w:tc>
        <w:tc>
          <w:tcPr>
            <w:tcW w:w="1246" w:type="pct"/>
            <w:vAlign w:val="center"/>
          </w:tcPr>
          <w:p>
            <w:pPr>
              <w:keepNext/>
              <w:jc w:val="right"/>
            </w:pPr>
            <w:r>
              <w:t xml:space="preserve">170360,35</w:t>
            </w:r>
          </w:p>
        </w:tc>
        <w:tc>
          <w:tcPr>
            <w:tcW w:w="1246" w:type="pct"/>
            <w:vAlign w:val="center"/>
          </w:tcPr>
          <w:p>
            <w:r>
              <w:t xml:space="preserve">2026. godina</w:t>
            </w:r>
          </w:p>
        </w:tc>
      </w:tr>
      <w:tr>
        <w:trPr/>
        <w:tc>
          <w:tcPr>
            <w:tcW w:w="1246" w:type="pct"/>
            <w:vAlign w:val="center"/>
          </w:tcPr>
          <w:p>
            <w:r>
              <w:t xml:space="preserve">1 umirovljenik</w:t>
            </w:r>
          </w:p>
        </w:tc>
        <w:tc>
          <w:tcPr>
            <w:tcW w:w="1246" w:type="pct"/>
            <w:vAlign w:val="center"/>
          </w:tcPr>
          <w:p>
            <w:r>
              <w:t xml:space="preserve">dodatak na plaću za uvjete rada</w:t>
            </w:r>
          </w:p>
        </w:tc>
        <w:tc>
          <w:tcPr>
            <w:tcW w:w="1246" w:type="pct"/>
            <w:vAlign w:val="center"/>
          </w:tcPr>
          <w:p>
            <w:pPr>
              <w:keepNext/>
              <w:jc w:val="right"/>
            </w:pPr>
            <w:r>
              <w:t xml:space="preserve">4534,24</w:t>
            </w:r>
          </w:p>
        </w:tc>
        <w:tc>
          <w:tcPr>
            <w:tcW w:w="1246" w:type="pct"/>
            <w:vAlign w:val="center"/>
          </w:tcPr>
          <w:p>
            <w:r>
              <w:t xml:space="preserve">2026. godina</w:t>
            </w:r>
          </w:p>
        </w:tc>
      </w:tr>
      <w:tr>
        <w:trPr/>
        <w:tc>
          <w:tcPr>
            <w:tcW w:w="1246" w:type="pct"/>
            <w:vAlign w:val="center"/>
          </w:tcPr>
          <w:p>
            <w:r>
              <w:t xml:space="preserve">2 bivša radnika</w:t>
            </w:r>
          </w:p>
        </w:tc>
        <w:tc>
          <w:tcPr>
            <w:tcW w:w="1246" w:type="pct"/>
            <w:vAlign w:val="center"/>
          </w:tcPr>
          <w:p>
            <w:r>
              <w:t xml:space="preserve">dodatak na plaću za uvjete rada</w:t>
            </w:r>
          </w:p>
        </w:tc>
        <w:tc>
          <w:tcPr>
            <w:tcW w:w="1246" w:type="pct"/>
            <w:vAlign w:val="center"/>
          </w:tcPr>
          <w:p>
            <w:pPr>
              <w:keepNext/>
              <w:jc w:val="right"/>
            </w:pPr>
            <w:r>
              <w:t xml:space="preserve">8087,88</w:t>
            </w:r>
          </w:p>
        </w:tc>
        <w:tc>
          <w:tcPr>
            <w:tcW w:w="1246" w:type="pct"/>
            <w:vAlign w:val="center"/>
          </w:tcPr>
          <w:p>
            <w:r>
              <w:t xml:space="preserve">2026. godina</w:t>
            </w:r>
          </w:p>
        </w:tc>
      </w:tr>
      <w:tr>
        <w:trPr/>
        <w:tc>
          <w:tcPr>
            <w:tcW w:w="1246" w:type="pct"/>
            <w:vAlign w:val="center"/>
          </w:tcPr>
          <w:p>
            <w:r>
              <w:t xml:space="preserve">25 tužitelja</w:t>
            </w:r>
          </w:p>
        </w:tc>
        <w:tc>
          <w:tcPr>
            <w:tcW w:w="1246" w:type="pct"/>
            <w:vAlign w:val="center"/>
          </w:tcPr>
          <w:p>
            <w:r>
              <w:t xml:space="preserve"> </w:t>
            </w:r>
          </w:p>
        </w:tc>
        <w:tc>
          <w:tcPr>
            <w:tcW w:w="1246" w:type="pct"/>
            <w:vAlign w:val="center"/>
          </w:tcPr>
          <w:p>
            <w:pPr>
              <w:keepNext/>
              <w:jc w:val="right"/>
            </w:pPr>
            <w:r>
              <w:t xml:space="preserve">182.982,47</w:t>
            </w:r>
          </w:p>
        </w:tc>
        <w:tc>
          <w:tcPr>
            <w:tcW w:w="1246" w:type="pct"/>
            <w:vAlign w:val="center"/>
          </w:tcPr>
          <w:p>
            <w:r>
              <w:t xml:space="preserve"> </w:t>
            </w:r>
          </w:p>
        </w:tc>
      </w:tr>
    </w:tbl>
    <w:p>
      <w:r>
        <w:t xml:space="preserve"> </w:t>
      </w:r>
    </w:p>
    <w:p>
      <w:r>
        <w:t xml:space="preserve">Navedena procjena financijskog učinka uključuje bruto plaću s doprinosima na plaću koji podatak nam je poznat, te ostale troškove kao što su parnični troškovi, kamate na doprinose, poreze, neto isplatu, parnični trošak i sudske pristojbe za koje je napravljena procjena temeljem isplaćenih presuda.</w:t>
      </w:r>
    </w:p>
    <w:p>
      <w:r>
        <w:t xml:space="preserve">U 2025. godini 6 umrovljenika izgubilo je radni spor i u 2025. godini morali su podmiriti troškove postupka zajedno s kamatama. Ukupni priljevi iznosili su 5850,34 eura (5 umirovljenika), dok za još jedan spor očekujemo priljev sredstava u visini od 1548,97 eura.</w:t>
      </w:r>
    </w:p>
    <w:p>
      <w:r>
        <w:t xml:space="preserve">U 2025. godini 6 radnika dobilo je radni spor te su ukupno odljevi koji uključuju bruto plaću s doprinosima na plaću, parnične troškove, kamate i sudske pristojbe iznose 44095,68 eura.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Preuzete obveze po ugovorima o nabavi roba odnosi se na sklopljen Ugovor o nabavci vatrogasnih zaštitnih odijela za prilaz vatri Klasa: 250-06/25-03/01, Urbroj 2103/01-11-02-25-32 od 25.09.2025. godine sklopljen s Vatropromet d.o.o. u visini od 3.725,00 eura čija se isporuka Aneksom navedenog Ugovora očekuje najkasnije 31.03.2026. godine.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1.700.994,06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2.626.191,96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w:t>
            </w:r>
          </w:p>
        </w:tc>
      </w:tr>
    </w:tbl>
    <w:p>
      <w:pPr>
        <w:spacing w:before="0" w:after="0"/>
      </w:pPr>
    </w:p>
    <w:p>
      <w:r>
        <w:t xml:space="preserve">Javna vatrogasna postrojba Grada Bjelovara prema funkcijskoj klasifikaciji obavlja usluge protupožarne zaštite u sklopu javnog reda i sigurnosti (032). Na šifri 032 iskazan je rashod od 2.626.191,96 što odgovara podatku iz obrasca PR-RAS.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79.029,87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nefinancijske imovine odnose se na godišnji ispravak vrijednosti dugotrajne nefinancijske imovine u visini od 79.029,87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obujmu imovine odnose se na promjene u obujmu proizvedene dugotrajne imovine u visini od 537,44 eura a odnosi se na dugotrajnu imovinu koja je  u 2025. godini rashodovana zbog oštećenja te je ista u 2025. godini zbrinuta na otpad, a imala je preostalu vrijednost.</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nema dospjelih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b1af8eca94ecd" /></Relationships>
</file>